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168B60B1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061ADE6E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1F63AB0D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Příloha č. </w:t>
      </w:r>
      <w:r w:rsidR="0089027B">
        <w:rPr>
          <w:rFonts w:ascii="Calibri-Bold" w:hAnsi="Calibri-Bold" w:cs="Calibri-Bold"/>
          <w:b/>
          <w:bCs/>
          <w:color w:val="000000"/>
          <w:sz w:val="28"/>
          <w:szCs w:val="28"/>
        </w:rPr>
        <w:t>7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– FORMULÁŘ </w:t>
      </w:r>
      <w:r w:rsidR="007D0A6A">
        <w:rPr>
          <w:rFonts w:ascii="Calibri-Bold" w:hAnsi="Calibri-Bold" w:cs="Calibri-Bold"/>
          <w:b/>
          <w:bCs/>
          <w:color w:val="000000"/>
          <w:sz w:val="28"/>
          <w:szCs w:val="28"/>
        </w:rPr>
        <w:t>K PROHLÁŠENÍ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08A1CA72" w:rsidR="00D15E01" w:rsidRPr="00C55433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  <w:r w:rsidRPr="00C55433">
        <w:rPr>
          <w:rFonts w:ascii="Calibri-Bold" w:hAnsi="Calibri-Bold" w:cs="Calibri-Bold"/>
          <w:color w:val="000000"/>
          <w:sz w:val="28"/>
          <w:szCs w:val="28"/>
        </w:rPr>
        <w:t xml:space="preserve">(zásady „významně nepoškozovat“) </w:t>
      </w:r>
    </w:p>
    <w:p w14:paraId="41E03CCC" w14:textId="77777777" w:rsidR="00ED0B12" w:rsidRPr="00C55433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</w:p>
    <w:p w14:paraId="02EBE0E5" w14:textId="259CBA3F" w:rsidR="00ED0B12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Technologie pro MAS (CLLD) – výzva II.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7EFF8BBC" w14:textId="7B848EAC" w:rsidR="00A34025" w:rsidRPr="00DB4EFF" w:rsidRDefault="001C0534" w:rsidP="00D60CAA">
      <w:pPr>
        <w:spacing w:after="200" w:line="276" w:lineRule="auto"/>
        <w:rPr>
          <w:b/>
          <w:sz w:val="28"/>
          <w:szCs w:val="28"/>
        </w:rPr>
      </w:pPr>
      <w:r>
        <w:rPr>
          <w:rFonts w:cstheme="minorHAnsi"/>
          <w:szCs w:val="28"/>
        </w:rPr>
        <w:br w:type="page"/>
      </w:r>
      <w:r w:rsidR="00A34025"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31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99A" w14:textId="3982AB8C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9E77" w14:textId="5B610F9D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F84B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2AC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5B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7E0E0753" w14:textId="09F8EE3F" w:rsidR="004434B0" w:rsidRPr="004A61D8" w:rsidRDefault="00B176D2" w:rsidP="004A61D8">
      <w:pPr>
        <w:spacing w:before="120" w:after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49801D6D" w:rsidR="004A7709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A61D8">
            <w:pPr>
              <w:pStyle w:val="Odstavecseseznamem"/>
              <w:numPr>
                <w:ilvl w:val="1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35D22E80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jejichž cílem je snižování emisí skleníkových plynů pocházejících z činností, které jsou uvedeny v příloze I směrnice 2003/87/ES (zařízení zařazená do systému EU pro obchodování s emisemi) </w:t>
            </w:r>
          </w:p>
          <w:p w14:paraId="120EA49F" w14:textId="77777777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3D36D67A" w14:textId="341ACFCA" w:rsidR="00ED0B12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se skládkami odpadů, spalovnami a zařízeními </w:t>
            </w:r>
            <w:r w:rsidR="00ED0B12">
              <w:t>zvyšující kapacitu zařízení pro zpracování zbytkového odpadu, s výjimkou investic do technologií pro získávání materiálů ze zbytkového odpadu pro účely oběhového hospodářství</w:t>
            </w:r>
            <w:r w:rsidR="00ED0B12" w:rsidRPr="009B4AE3">
              <w:t xml:space="preserve"> 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00926B02" w14:textId="37CBB43C" w:rsidR="004434B0" w:rsidRDefault="004434B0" w:rsidP="004A7709"/>
    <w:p w14:paraId="1CCE3F89" w14:textId="2F68272A" w:rsidR="004A61D8" w:rsidRDefault="004A61D8" w:rsidP="004A7709"/>
    <w:p w14:paraId="49B3392B" w14:textId="77777777" w:rsidR="004A61D8" w:rsidRPr="004A7709" w:rsidRDefault="004A61D8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t>Technická k</w:t>
      </w:r>
      <w:r w:rsidR="008F18BA">
        <w:t xml:space="preserve">ritéria k zásadě významně nepoškozovat </w:t>
      </w:r>
      <w:bookmarkEnd w:id="2"/>
      <w:bookmarkEnd w:id="3"/>
    </w:p>
    <w:p w14:paraId="67438C0F" w14:textId="1CA4761F" w:rsidR="00356841" w:rsidRDefault="00356841" w:rsidP="004A61D8">
      <w:pPr>
        <w:spacing w:before="120" w:after="120" w:line="264" w:lineRule="auto"/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6C543310" w14:textId="16C47B4E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0ABB1AC2" w14:textId="46FE3987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21F1BA99" w14:textId="77777777" w:rsidR="004A61D8" w:rsidRPr="00356841" w:rsidRDefault="004A61D8" w:rsidP="004A61D8">
      <w:pPr>
        <w:spacing w:before="120" w:after="120" w:line="264" w:lineRule="auto"/>
        <w:jc w:val="both"/>
        <w:rPr>
          <w:i/>
        </w:rPr>
      </w:pP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a) Zmírňování změny klimatu</w:t>
      </w:r>
    </w:p>
    <w:p w14:paraId="21BFF98E" w14:textId="712BC905" w:rsidR="004A61D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2C00EB85" w:rsidR="004A7709" w:rsidRPr="00D60CAA" w:rsidRDefault="00D60CAA" w:rsidP="004A61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color w:val="auto"/>
              </w:rPr>
            </w:pPr>
            <w:r>
              <w:t xml:space="preserve">V případě, kdy budou v rámci projektu pořizována zařízení, na která se vztahují právní předpisy stanovující požadavky na označování výrobků energetickými štítky, musí být tato zařízení </w:t>
            </w:r>
            <w:r w:rsidRPr="002F4101">
              <w:rPr>
                <w:b/>
                <w:bCs/>
              </w:rPr>
              <w:t>v okamžiku pořízení zařazena v podporovaných energetických třídách v souladu s dokumentem Podporované energetické třídy u pořizovaných zařízení, na která se vztahují předpisy pro označování energetickými štítky</w:t>
            </w:r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>.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020E250C" w14:textId="77777777" w:rsidR="004A7709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  <w:p w14:paraId="3DC8A9A9" w14:textId="77777777" w:rsidR="005522B7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62194C8" w14:textId="7C9B3B29" w:rsidR="005522B7" w:rsidRPr="00EA3345" w:rsidRDefault="005522B7" w:rsidP="005522B7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cstheme="minorHAnsi"/>
                <w:bCs/>
                <w:color w:val="000000"/>
              </w:rPr>
            </w:pPr>
            <w:r w:rsidRPr="00EA3345">
              <w:rPr>
                <w:rFonts w:cstheme="minorHAnsi"/>
                <w:bCs/>
                <w:color w:val="000000"/>
              </w:rPr>
              <w:t>Nachází-li se podpořená investice v </w:t>
            </w:r>
            <w:r w:rsidRPr="005522B7">
              <w:rPr>
                <w:rFonts w:cstheme="minorHAnsi"/>
                <w:b/>
                <w:color w:val="000000"/>
              </w:rPr>
              <w:t>záplavové zóně Q100</w:t>
            </w:r>
            <w:r>
              <w:rPr>
                <w:rStyle w:val="Znakapoznpodarou"/>
                <w:rFonts w:cstheme="minorHAnsi"/>
                <w:b/>
                <w:color w:val="000000"/>
              </w:rPr>
              <w:footnoteReference w:id="2"/>
            </w:r>
            <w:r w:rsidRPr="005522B7">
              <w:rPr>
                <w:rFonts w:cstheme="minorHAnsi"/>
                <w:b/>
                <w:color w:val="000000"/>
              </w:rPr>
              <w:t xml:space="preserve"> </w:t>
            </w:r>
            <w:r w:rsidRPr="00EA3345">
              <w:rPr>
                <w:rFonts w:cstheme="minorHAnsi"/>
                <w:bCs/>
                <w:color w:val="000000"/>
              </w:rPr>
              <w:t xml:space="preserve">(stoletá voda), budou popsána existující protipovodňová opatření (lze odkazem na aktuální zveřejněnou dokumentaci) v dané lokalitě i opatření realizovaná žadatelem (stávající a navržená k realizaci v rámci projektu): </w:t>
            </w:r>
          </w:p>
          <w:p w14:paraId="2B44BA44" w14:textId="5661BF2D" w:rsidR="005522B7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FA6AFE">
              <w:rPr>
                <w:rFonts w:cstheme="minorHAnsi"/>
                <w:i/>
                <w:highlight w:val="yellow"/>
              </w:rPr>
              <w:t>„doplní žadatel”</w:t>
            </w:r>
          </w:p>
          <w:p w14:paraId="62100957" w14:textId="77777777" w:rsidR="005522B7" w:rsidRPr="00FA6AFE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1A8DB9D" w14:textId="73AFE3F2" w:rsidR="005522B7" w:rsidRPr="004C109C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3976D182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 xml:space="preserve">legislativou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lastRenderedPageBreak/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376E45" w14:paraId="05C240C2" w14:textId="77777777" w:rsidTr="003E6F5E">
        <w:tc>
          <w:tcPr>
            <w:tcW w:w="8665" w:type="dxa"/>
            <w:vAlign w:val="center"/>
          </w:tcPr>
          <w:p w14:paraId="2E06A40D" w14:textId="69F0B395" w:rsidR="00376E45" w:rsidRDefault="00376E45" w:rsidP="00376E4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6F1981DC">
              <w:rPr>
                <w:rFonts w:eastAsiaTheme="minorEastAsia"/>
                <w:color w:val="000000"/>
              </w:rPr>
              <w:t>Investice budou plně respektovat cíle a opatření Plánu odpadového hospodářství České republiky na období 2025–2035</w:t>
            </w:r>
            <w:r w:rsidRPr="6F1981DC">
              <w:rPr>
                <w:rStyle w:val="Znakapoznpodarou"/>
                <w:rFonts w:eastAsiaTheme="minorEastAsia"/>
                <w:color w:val="000000"/>
              </w:rPr>
              <w:footnoteReference w:id="3"/>
            </w:r>
            <w:r w:rsidRPr="6F1981DC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 xml:space="preserve">a </w:t>
            </w:r>
            <w:r w:rsidRPr="6F1981DC">
              <w:rPr>
                <w:rFonts w:eastAsiaTheme="minorEastAsia"/>
                <w:color w:val="000000"/>
              </w:rPr>
              <w:t>zákony v oblasti nakládání s</w:t>
            </w:r>
            <w:r>
              <w:rPr>
                <w:rFonts w:eastAsiaTheme="minorEastAsia"/>
                <w:color w:val="000000"/>
              </w:rPr>
              <w:t> </w:t>
            </w:r>
            <w:r w:rsidRPr="6F1981DC">
              <w:rPr>
                <w:rFonts w:eastAsiaTheme="minorEastAsia"/>
                <w:color w:val="000000"/>
              </w:rPr>
              <w:t>odpady</w:t>
            </w:r>
            <w:r>
              <w:rPr>
                <w:rFonts w:eastAsiaTheme="minorEastAsia"/>
                <w:color w:val="000000"/>
              </w:rPr>
              <w:t xml:space="preserve"> v platném znění</w:t>
            </w:r>
            <w:r w:rsidRPr="6F1981DC">
              <w:rPr>
                <w:rFonts w:eastAsiaTheme="minorEastAsia"/>
                <w:color w:val="000000"/>
              </w:rPr>
              <w:t>, jak zákon č. 541/2020 Sb., o odpadech, tak zákon č. 542/2020 Sb., o výrobcích s ukončenou životností, a zákon č. 477/2001 Sb., o obalech.</w:t>
            </w:r>
          </w:p>
        </w:tc>
        <w:tc>
          <w:tcPr>
            <w:tcW w:w="963" w:type="dxa"/>
            <w:vAlign w:val="center"/>
          </w:tcPr>
          <w:p w14:paraId="4FD0510D" w14:textId="147067B5" w:rsidR="00376E45" w:rsidRDefault="00376E45" w:rsidP="0037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5F287E71" w:rsidR="004A7709" w:rsidRPr="00390B25" w:rsidRDefault="00376E4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6E45">
              <w:rPr>
                <w:rFonts w:cstheme="minorHAnsi"/>
                <w:b/>
              </w:rPr>
              <w:t>Investice není realizována na kontaminovaném území</w:t>
            </w:r>
            <w:r w:rsidRPr="00EC11A2">
              <w:rPr>
                <w:rFonts w:cstheme="minorHAnsi"/>
                <w:bCs/>
              </w:rPr>
              <w:t xml:space="preserve">, v rámci přípravy projektu bylo provedeno prověření, zda se lokalita </w:t>
            </w:r>
            <w:r w:rsidRPr="00EC11A2">
              <w:rPr>
                <w:rFonts w:cs="Calibri"/>
                <w:color w:val="000000"/>
              </w:rPr>
              <w:t>nenachází v Systému evidence kontaminovaných míst (</w:t>
            </w:r>
            <w:hyperlink r:id="rId9" w:history="1">
              <w:r w:rsidRPr="00EC11A2">
                <w:rPr>
                  <w:rStyle w:val="Hypertextovodkaz"/>
                </w:rPr>
                <w:t>https://www.sekm.cz/portal/</w:t>
              </w:r>
            </w:hyperlink>
            <w:r w:rsidRPr="00EC11A2">
              <w:t>)</w:t>
            </w:r>
            <w:r w:rsidRPr="00EC11A2">
              <w:rPr>
                <w:rStyle w:val="Hypertextovodkaz"/>
              </w:rPr>
              <w:t xml:space="preserve"> </w:t>
            </w:r>
            <w:r w:rsidRPr="00EC11A2">
              <w:rPr>
                <w:rStyle w:val="Hypertextovodkaz"/>
                <w:color w:val="000000" w:themeColor="text1"/>
                <w:u w:val="none"/>
              </w:rPr>
              <w:t>v kategoriích A1, A2, A3, P3, P4.</w:t>
            </w:r>
            <w:r w:rsidRPr="00EC11A2">
              <w:rPr>
                <w:rStyle w:val="Znakapoznpodarou"/>
                <w:rFonts w:cs="Calibri"/>
              </w:rPr>
              <w:footnoteReference w:id="4"/>
            </w:r>
            <w:r w:rsidRPr="005E15B6">
              <w:rPr>
                <w:rStyle w:val="Hypertextovodkaz"/>
                <w:color w:val="000000" w:themeColor="text1"/>
                <w:u w:val="none"/>
                <w:vertAlign w:val="superscript"/>
              </w:rPr>
              <w:t>,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963" w:type="dxa"/>
            <w:vAlign w:val="center"/>
          </w:tcPr>
          <w:p w14:paraId="01E9EDC8" w14:textId="6ECF66EF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  <w:r w:rsidR="00D01A88">
              <w:rPr>
                <w:rFonts w:ascii="Calibri" w:hAnsi="Calibri" w:cs="Calibri"/>
                <w:b/>
                <w:color w:val="000000"/>
              </w:rPr>
              <w:t xml:space="preserve">, není 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4A7709" w14:paraId="5D51CB54" w14:textId="77777777" w:rsidTr="004A61D8">
        <w:tc>
          <w:tcPr>
            <w:tcW w:w="8642" w:type="dxa"/>
          </w:tcPr>
          <w:p w14:paraId="33F8B73F" w14:textId="5D781C57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</w:t>
            </w:r>
            <w:r w:rsidR="00041EEC">
              <w:rPr>
                <w:rFonts w:cstheme="minorHAnsi"/>
                <w:color w:val="000000"/>
              </w:rPr>
              <w:t>bude</w:t>
            </w:r>
            <w:r>
              <w:rPr>
                <w:rFonts w:cstheme="minorHAnsi"/>
                <w:color w:val="000000"/>
              </w:rPr>
              <w:t xml:space="preserve">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986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43DA1D2" w14:textId="77777777" w:rsidR="004C109C" w:rsidRPr="00C55433" w:rsidRDefault="004C109C" w:rsidP="00C55433">
      <w:pPr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23560D72" w14:textId="04A9C614" w:rsidR="00DA15E8" w:rsidRDefault="00DA15E8" w:rsidP="00C55433">
      <w:pPr>
        <w:spacing w:after="0" w:line="240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dlouhodobé sucho</w:t>
      </w:r>
    </w:p>
    <w:p w14:paraId="5B74E70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povodně</w:t>
      </w:r>
    </w:p>
    <w:p w14:paraId="2ECF034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vydatné srážky</w:t>
      </w:r>
    </w:p>
    <w:p w14:paraId="56BCB20C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zvyšování teplot</w:t>
      </w:r>
    </w:p>
    <w:p w14:paraId="200763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extrémně vysoké teploty</w:t>
      </w:r>
    </w:p>
    <w:p w14:paraId="568504B4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extrémní vítr</w:t>
      </w:r>
    </w:p>
    <w:p w14:paraId="48124D99" w14:textId="63E4214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požáry vegetace</w:t>
      </w:r>
    </w:p>
    <w:p w14:paraId="41DD7B4E" w14:textId="77777777" w:rsidR="00041EEC" w:rsidRDefault="00041EEC" w:rsidP="00041EEC">
      <w:pPr>
        <w:pStyle w:val="Odstavecseseznamem"/>
        <w:spacing w:after="0" w:line="240" w:lineRule="auto"/>
        <w:ind w:left="714"/>
        <w:jc w:val="both"/>
      </w:pP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55433">
            <w:pPr>
              <w:spacing w:after="0" w:line="240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lastRenderedPageBreak/>
              <w:t>akumulace dešťové vody</w:t>
            </w:r>
          </w:p>
          <w:p w14:paraId="23223CAD" w14:textId="5CBDBDDE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rozvody užitkové vody z akumulované dešťové vody, uzavřené cykly využití užitkové vody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55433">
            <w:pPr>
              <w:spacing w:after="0" w:line="240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výstavba mimo záplavové území </w:t>
            </w:r>
          </w:p>
          <w:p w14:paraId="298EBE42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3C91AFAD" w14:textId="77777777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protipovodňové zábrany, kryty otvorů proti vniknutí vody do budovy </w:t>
            </w:r>
          </w:p>
          <w:p w14:paraId="133459BE" w14:textId="20609838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požadavky vyplývající </w:t>
            </w:r>
            <w:r w:rsidR="00412174">
              <w:t>ze stavebního řízení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55433">
            <w:pPr>
              <w:spacing w:after="0" w:line="240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55433">
            <w:pPr>
              <w:spacing w:after="0" w:line="240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napojení na výstražný meteorologický systém, elektronické propojení s vhodnými technologiemi -  např.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55433">
            <w:pPr>
              <w:spacing w:after="0" w:line="240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C55433">
      <w:pPr>
        <w:spacing w:after="0" w:line="240" w:lineRule="auto"/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5038703F" w14:textId="02041E5F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projekt bude realizován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35CD1215" w14:textId="028F8189" w:rsidR="002D2397" w:rsidRPr="00C55433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1F45" w14:textId="77777777" w:rsidR="00CE5661" w:rsidRDefault="00CE5661" w:rsidP="00677FE0">
      <w:pPr>
        <w:spacing w:after="0" w:line="240" w:lineRule="auto"/>
      </w:pPr>
      <w:r>
        <w:separator/>
      </w:r>
    </w:p>
  </w:endnote>
  <w:endnote w:type="continuationSeparator" w:id="0">
    <w:p w14:paraId="3AC7BE35" w14:textId="77777777" w:rsidR="00CE5661" w:rsidRDefault="00CE5661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6412" w14:textId="77777777" w:rsidR="00CE5661" w:rsidRDefault="00CE5661" w:rsidP="00677FE0">
      <w:pPr>
        <w:spacing w:after="0" w:line="240" w:lineRule="auto"/>
      </w:pPr>
      <w:r>
        <w:separator/>
      </w:r>
    </w:p>
  </w:footnote>
  <w:footnote w:type="continuationSeparator" w:id="0">
    <w:p w14:paraId="4C886902" w14:textId="77777777" w:rsidR="00CE5661" w:rsidRDefault="00CE5661" w:rsidP="00677FE0">
      <w:pPr>
        <w:spacing w:after="0" w:line="240" w:lineRule="auto"/>
      </w:pPr>
      <w:r>
        <w:continuationSeparator/>
      </w:r>
    </w:p>
  </w:footnote>
  <w:footnote w:id="1">
    <w:p w14:paraId="7BC42353" w14:textId="72406AC0" w:rsidR="00D60CAA" w:rsidRPr="005522B7" w:rsidRDefault="00D60CAA" w:rsidP="00D60CAA">
      <w:pPr>
        <w:pStyle w:val="Textpoznpodarou"/>
        <w:rPr>
          <w:rStyle w:val="textrun"/>
          <w:rFonts w:ascii="Calibri" w:hAnsi="Calibri"/>
          <w:color w:val="000000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K dispozici na </w:t>
      </w:r>
      <w:r>
        <w:rPr>
          <w:rStyle w:val="textrun"/>
          <w:sz w:val="18"/>
          <w:szCs w:val="18"/>
        </w:rPr>
        <w:t xml:space="preserve">webových stránkách ŘO OP TAK, </w:t>
      </w:r>
      <w:r w:rsidRPr="002F4101">
        <w:rPr>
          <w:rStyle w:val="textrun"/>
          <w:b/>
          <w:bCs/>
          <w:sz w:val="18"/>
          <w:szCs w:val="18"/>
        </w:rPr>
        <w:t>v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 sekci </w:t>
      </w:r>
      <w:r w:rsidRPr="002F4101">
        <w:rPr>
          <w:rStyle w:val="textrun"/>
          <w:b/>
          <w:bCs/>
          <w:sz w:val="18"/>
          <w:szCs w:val="18"/>
        </w:rPr>
        <w:t xml:space="preserve">Metodika </w:t>
      </w:r>
      <w:hyperlink r:id="rId1" w:history="1">
        <w:r w:rsidRPr="002F4101">
          <w:rPr>
            <w:rStyle w:val="Hypertextovodkaz"/>
            <w:b/>
            <w:bCs/>
            <w:sz w:val="18"/>
            <w:szCs w:val="18"/>
          </w:rPr>
          <w:t>https://www.optak.cz/metodika/a-7/</w:t>
        </w:r>
      </w:hyperlink>
      <w:r w:rsidRPr="002F4101">
        <w:rPr>
          <w:rStyle w:val="textrun"/>
          <w:b/>
          <w:bCs/>
          <w:sz w:val="18"/>
          <w:szCs w:val="18"/>
        </w:rPr>
        <w:t>, kap</w:t>
      </w:r>
      <w:r w:rsidRPr="002F4101">
        <w:rPr>
          <w:rStyle w:val="textrun"/>
          <w:b/>
          <w:bCs/>
          <w:color w:val="000000"/>
          <w:sz w:val="18"/>
          <w:szCs w:val="18"/>
        </w:rPr>
        <w:t>itole 15</w:t>
      </w:r>
      <w:r>
        <w:rPr>
          <w:rStyle w:val="textrun"/>
          <w:color w:val="000000"/>
          <w:sz w:val="18"/>
          <w:szCs w:val="18"/>
        </w:rPr>
        <w:t xml:space="preserve"> Zařízení, která jsou spojená se spotřebou energie, na která se vztahuje legislativa pro označování energetickými štítky – 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název souboru “Příloha </w:t>
      </w:r>
      <w:r w:rsidRPr="002F4101">
        <w:rPr>
          <w:rStyle w:val="normaltextrun"/>
          <w:b/>
          <w:bCs/>
          <w:color w:val="000000"/>
          <w:sz w:val="18"/>
          <w:szCs w:val="18"/>
        </w:rPr>
        <w:t>R</w:t>
      </w:r>
      <w:r w:rsidRPr="002F4101">
        <w:rPr>
          <w:b/>
          <w:bCs/>
          <w:color w:val="000000"/>
          <w:sz w:val="18"/>
          <w:szCs w:val="18"/>
        </w:rPr>
        <w:t>oPD</w:t>
      </w:r>
      <w:r w:rsidRPr="002F4101">
        <w:rPr>
          <w:rStyle w:val="textrun"/>
          <w:b/>
          <w:bCs/>
        </w:rPr>
        <w:t xml:space="preserve"> </w:t>
      </w:r>
      <w:r w:rsidRPr="002F4101">
        <w:rPr>
          <w:rStyle w:val="textrun"/>
          <w:b/>
          <w:bCs/>
          <w:color w:val="000000"/>
          <w:sz w:val="18"/>
          <w:szCs w:val="18"/>
        </w:rPr>
        <w:t>Podporované energetické třídy u pořizovaných zařízení, na která se vztahují předpisy pro označování energ</w:t>
      </w:r>
      <w:r w:rsidR="002F4101" w:rsidRPr="002F4101">
        <w:rPr>
          <w:rStyle w:val="textrun"/>
          <w:b/>
          <w:bCs/>
          <w:color w:val="000000"/>
          <w:sz w:val="18"/>
          <w:szCs w:val="18"/>
        </w:rPr>
        <w:t>. štítky.pdf“</w:t>
      </w:r>
      <w:r>
        <w:rPr>
          <w:rStyle w:val="textrun"/>
          <w:color w:val="000000"/>
        </w:rPr>
        <w:t xml:space="preserve"> </w:t>
      </w:r>
    </w:p>
  </w:footnote>
  <w:footnote w:id="2">
    <w:p w14:paraId="6A397D8B" w14:textId="4C5D181F" w:rsidR="005522B7" w:rsidRPr="005522B7" w:rsidRDefault="005522B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</w:t>
      </w:r>
      <w:r w:rsidR="00376E45">
        <w:rPr>
          <w:sz w:val="18"/>
          <w:szCs w:val="18"/>
        </w:rPr>
        <w:t xml:space="preserve">Mapa záplavových území </w:t>
      </w:r>
      <w:hyperlink r:id="rId2" w:history="1">
        <w:r w:rsidR="00376E45" w:rsidRPr="00BB5C8E">
          <w:rPr>
            <w:rStyle w:val="Hypertextovodkaz"/>
            <w:sz w:val="18"/>
            <w:szCs w:val="18"/>
          </w:rPr>
          <w:t>https://webmap.dppcr.cz/dpp_cr/dppcr.dll?IFRAME=1&amp;TMPL=HVMAP_MAIN&amp;LOGO=%24CZ0&amp;MAP=zatopy&amp;TM=%2Fcsu_obce_hr&amp;lon=15.4192754&amp;lat=49.9301477&amp;scale=1935360</w:t>
        </w:r>
      </w:hyperlink>
      <w:r w:rsidRPr="005522B7">
        <w:rPr>
          <w:sz w:val="18"/>
          <w:szCs w:val="18"/>
        </w:rPr>
        <w:t xml:space="preserve"> </w:t>
      </w:r>
    </w:p>
  </w:footnote>
  <w:footnote w:id="3">
    <w:p w14:paraId="0FF299F3" w14:textId="77777777" w:rsidR="00376E45" w:rsidRPr="006E4635" w:rsidRDefault="00376E4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Pr="006E4635">
        <w:rPr>
          <w:sz w:val="18"/>
          <w:szCs w:val="18"/>
        </w:rPr>
        <w:t xml:space="preserve"> </w:t>
      </w:r>
      <w:hyperlink r:id="rId3" w:history="1">
        <w:r w:rsidRPr="6F1981DC">
          <w:rPr>
            <w:rStyle w:val="Hypertextovodkaz"/>
            <w:sz w:val="18"/>
            <w:szCs w:val="18"/>
          </w:rPr>
          <w:t>https://mzp.gov.cz/cz/agenda/odpadove-hospodarstvi-a-cirkularni-ekonomika/odpady/plan-odpadoveho-hospodarstvi-cr</w:t>
        </w:r>
      </w:hyperlink>
      <w:r w:rsidRPr="6F1981DC">
        <w:rPr>
          <w:sz w:val="18"/>
          <w:szCs w:val="18"/>
        </w:rPr>
        <w:t xml:space="preserve"> </w:t>
      </w:r>
    </w:p>
  </w:footnote>
  <w:footnote w:id="4">
    <w:p w14:paraId="2F87AA2A" w14:textId="77777777" w:rsidR="00376E45" w:rsidRPr="006E4635" w:rsidRDefault="00376E45" w:rsidP="00376E45">
      <w:pPr>
        <w:pStyle w:val="Textpoznpodarou"/>
        <w:jc w:val="both"/>
        <w:rPr>
          <w:sz w:val="18"/>
          <w:szCs w:val="18"/>
        </w:rPr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Lokality zařazené v SEKM v kategoriích P1, P2, N1, N2 nepředstavují významné riziko kontaminace.</w:t>
      </w:r>
    </w:p>
  </w:footnote>
  <w:footnote w:id="5">
    <w:p w14:paraId="0297E36E" w14:textId="77777777" w:rsidR="00376E45" w:rsidRDefault="00376E45" w:rsidP="00376E45">
      <w:pPr>
        <w:pStyle w:val="Textpoznpodarou"/>
        <w:jc w:val="both"/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v případě, že žadatel zjistí evidenci kontaminované lokality, je n</w:t>
      </w:r>
      <w:r w:rsidRPr="006E4635">
        <w:rPr>
          <w:bCs/>
          <w:sz w:val="18"/>
          <w:szCs w:val="18"/>
        </w:rPr>
        <w:t>utno řešit s</w:t>
      </w:r>
      <w:r w:rsidRPr="006E4635">
        <w:rPr>
          <w:b/>
          <w:sz w:val="18"/>
          <w:szCs w:val="18"/>
        </w:rPr>
        <w:t xml:space="preserve"> Ministerstvem životního prostředí, Odborem environmentálních rizik a ekologických škod, oddělením sanací (dále OEREŠ). OEREŠ poskytne odbornou konzultaci k postupu a finančním zdrojům pro řešení kontaminované lokality.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"/>
  </w:num>
  <w:num w:numId="5">
    <w:abstractNumId w:val="20"/>
  </w:num>
  <w:num w:numId="6">
    <w:abstractNumId w:val="10"/>
  </w:num>
  <w:num w:numId="7">
    <w:abstractNumId w:val="8"/>
  </w:num>
  <w:num w:numId="8">
    <w:abstractNumId w:val="3"/>
  </w:num>
  <w:num w:numId="9">
    <w:abstractNumId w:val="18"/>
  </w:num>
  <w:num w:numId="10">
    <w:abstractNumId w:val="12"/>
  </w:num>
  <w:num w:numId="11">
    <w:abstractNumId w:val="2"/>
  </w:num>
  <w:num w:numId="12">
    <w:abstractNumId w:val="21"/>
  </w:num>
  <w:num w:numId="13">
    <w:abstractNumId w:val="4"/>
  </w:num>
  <w:num w:numId="14">
    <w:abstractNumId w:val="24"/>
  </w:num>
  <w:num w:numId="15">
    <w:abstractNumId w:val="5"/>
  </w:num>
  <w:num w:numId="16">
    <w:abstractNumId w:val="16"/>
  </w:num>
  <w:num w:numId="17">
    <w:abstractNumId w:val="13"/>
  </w:num>
  <w:num w:numId="18">
    <w:abstractNumId w:val="23"/>
  </w:num>
  <w:num w:numId="19">
    <w:abstractNumId w:val="22"/>
  </w:num>
  <w:num w:numId="20">
    <w:abstractNumId w:val="15"/>
  </w:num>
  <w:num w:numId="21">
    <w:abstractNumId w:val="7"/>
  </w:num>
  <w:num w:numId="22">
    <w:abstractNumId w:val="11"/>
  </w:num>
  <w:num w:numId="23">
    <w:abstractNumId w:val="0"/>
  </w:num>
  <w:num w:numId="24">
    <w:abstractNumId w:val="9"/>
  </w:num>
  <w:num w:numId="2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27A5C"/>
    <w:rsid w:val="0004162E"/>
    <w:rsid w:val="00041EEC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41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76E45"/>
    <w:rsid w:val="0039063C"/>
    <w:rsid w:val="00390B25"/>
    <w:rsid w:val="003A1860"/>
    <w:rsid w:val="003A324C"/>
    <w:rsid w:val="003A41BA"/>
    <w:rsid w:val="003A46A8"/>
    <w:rsid w:val="003A51AA"/>
    <w:rsid w:val="003A7841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2174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61D8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22B7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44397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0A6A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57FB8"/>
    <w:rsid w:val="0086504A"/>
    <w:rsid w:val="00865238"/>
    <w:rsid w:val="008667BF"/>
    <w:rsid w:val="0087035B"/>
    <w:rsid w:val="00874E92"/>
    <w:rsid w:val="00887CAE"/>
    <w:rsid w:val="0089027B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55433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1A88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60CAA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0B12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60C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0CAA"/>
  </w:style>
  <w:style w:type="character" w:customStyle="1" w:styleId="textrun">
    <w:name w:val="textrun"/>
    <w:basedOn w:val="Standardnpsmoodstavce"/>
    <w:rsid w:val="00D6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sekm.cz/porta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p.gov.cz/cz/agenda/odpadove-hospodarstvi-a-cirkularni-ekonomika/odpady/plan-odpadoveho-hospodarstvi-cr" TargetMode="External"/><Relationship Id="rId2" Type="http://schemas.openxmlformats.org/officeDocument/2006/relationships/hyperlink" Target="https://webmap.dppcr.cz/dpp_cr/dppcr.dll?IFRAME=1&amp;TMPL=HVMAP_MAIN&amp;LOGO=%24CZ0&amp;MAP=zatopy&amp;TM=%2Fcsu_obce_hr&amp;lon=15.4192754&amp;lat=49.9301477&amp;scale=1935360" TargetMode="External"/><Relationship Id="rId1" Type="http://schemas.openxmlformats.org/officeDocument/2006/relationships/hyperlink" Target="https://www.optak.cz/metodika/a-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5" ma:contentTypeDescription="Vytvoří nový dokument" ma:contentTypeScope="" ma:versionID="541723c977fb974a0e2825822bf2066a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63c5b78b899dc8d8a193dc103de4ad55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Props1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ECB51D-F217-45EA-B35C-7B2490965A3D}"/>
</file>

<file path=customXml/itemProps3.xml><?xml version="1.0" encoding="utf-8"?>
<ds:datastoreItem xmlns:ds="http://schemas.openxmlformats.org/officeDocument/2006/customXml" ds:itemID="{05738C5F-42FC-4BF7-A07F-430B0A384C82}"/>
</file>

<file path=customXml/itemProps4.xml><?xml version="1.0" encoding="utf-8"?>
<ds:datastoreItem xmlns:ds="http://schemas.openxmlformats.org/officeDocument/2006/customXml" ds:itemID="{243B755D-E95B-46F8-BE40-22AB19D08F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1111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Dreslerová Monika</cp:lastModifiedBy>
  <cp:revision>18</cp:revision>
  <cp:lastPrinted>2022-05-31T12:37:00Z</cp:lastPrinted>
  <dcterms:created xsi:type="dcterms:W3CDTF">2026-03-06T11:58:00Z</dcterms:created>
  <dcterms:modified xsi:type="dcterms:W3CDTF">2026-03-18T12:22:00Z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0x0101007A711640F2675546BBD1467790519F05</vt:lpwstr>
  </property>
</Properties>
</file>